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C500A0" w:rsidRPr="00A44BA9" w:rsidRDefault="00224A26" w:rsidP="00C500A0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</w:t>
      </w:r>
      <w:r w:rsidR="00400266">
        <w:rPr>
          <w:rFonts w:ascii="Arial" w:hAnsi="Arial" w:cs="Arial"/>
          <w:b/>
          <w:sz w:val="28"/>
          <w:szCs w:val="28"/>
          <w:lang w:val="es-CO"/>
        </w:rPr>
        <w:t>1</w:t>
      </w:r>
      <w:r w:rsidR="003E5B75">
        <w:rPr>
          <w:rFonts w:ascii="Arial" w:hAnsi="Arial" w:cs="Arial"/>
          <w:b/>
          <w:sz w:val="28"/>
          <w:szCs w:val="28"/>
          <w:lang w:val="es-CO"/>
        </w:rPr>
        <w:t>4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121E58">
        <w:rPr>
          <w:rFonts w:ascii="Arial" w:hAnsi="Arial" w:cs="Arial"/>
          <w:b/>
          <w:sz w:val="28"/>
          <w:szCs w:val="28"/>
          <w:lang w:val="es-CO"/>
        </w:rPr>
        <w:t>junio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3E5B75">
        <w:rPr>
          <w:rFonts w:ascii="Arial" w:hAnsi="Arial" w:cs="Arial"/>
          <w:b/>
          <w:sz w:val="28"/>
          <w:szCs w:val="28"/>
          <w:lang w:val="es-CO"/>
        </w:rPr>
        <w:t>17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A67374" w:rsidRDefault="003522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</w:t>
      </w:r>
      <w:r w:rsidR="00B10606"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probación </w:t>
      </w:r>
      <w:r w:rsidR="00B10606"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352206" w:rsidRPr="00352206" w:rsidRDefault="00352206" w:rsidP="00352206">
      <w:pPr>
        <w:pStyle w:val="Prrafodelista"/>
        <w:ind w:left="284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52206" w:rsidRDefault="00352206" w:rsidP="00352206">
      <w:pPr>
        <w:pStyle w:val="Prrafodelista"/>
        <w:numPr>
          <w:ilvl w:val="0"/>
          <w:numId w:val="20"/>
        </w:numPr>
        <w:ind w:left="284"/>
        <w:rPr>
          <w:rFonts w:ascii="Arial" w:hAnsi="Arial" w:cs="Arial"/>
          <w:b/>
          <w:color w:val="000000"/>
          <w:sz w:val="22"/>
          <w:szCs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CO"/>
        </w:rPr>
        <w:t>Discusión y Aprobación Informes de Conciliación</w:t>
      </w:r>
    </w:p>
    <w:p w:rsidR="00C500A0" w:rsidRDefault="00C500A0" w:rsidP="00C500A0">
      <w:pPr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3E5B75" w:rsidRDefault="003E5B75" w:rsidP="003E5B75">
      <w:pPr>
        <w:pStyle w:val="Prrafodelista"/>
        <w:numPr>
          <w:ilvl w:val="0"/>
          <w:numId w:val="27"/>
        </w:numPr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3E5B7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</w:t>
      </w:r>
      <w:r w:rsidRPr="003E5B7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Pr="003E5B75">
        <w:rPr>
          <w:rFonts w:ascii="Arial" w:hAnsi="Arial" w:cs="Arial"/>
          <w:b/>
          <w:iCs/>
          <w:color w:val="000000"/>
          <w:sz w:val="22"/>
          <w:szCs w:val="22"/>
        </w:rPr>
        <w:t xml:space="preserve">No. 052 </w:t>
      </w:r>
      <w:r w:rsidRPr="003E5B7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de 2011 Cámara - 244 de 2012 Senado </w:t>
      </w:r>
      <w:r w:rsidRPr="003E5B75">
        <w:rPr>
          <w:rFonts w:ascii="Arial" w:hAnsi="Arial" w:cs="Arial"/>
          <w:bCs/>
          <w:i/>
          <w:iCs/>
          <w:color w:val="000000"/>
          <w:sz w:val="22"/>
          <w:szCs w:val="22"/>
        </w:rPr>
        <w:t>“Por medio de la cual se prohíbe el uso de animales silvestres, ya sean nativos o exóticos, en circos fijos e itinerantes</w:t>
      </w:r>
      <w:r w:rsidRPr="003E5B75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  <w:r w:rsidRPr="003E5B7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</w:t>
      </w:r>
    </w:p>
    <w:p w:rsidR="003E5B75" w:rsidRDefault="003E5B75" w:rsidP="003E5B75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:rsidR="003E5B75" w:rsidRPr="003E5B75" w:rsidRDefault="003E5B75" w:rsidP="003E5B75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E5B75">
        <w:rPr>
          <w:rFonts w:ascii="Arial" w:hAnsi="Arial" w:cs="Arial"/>
          <w:b/>
          <w:sz w:val="16"/>
          <w:szCs w:val="16"/>
        </w:rPr>
        <w:t>Publicado en la Gaceta del Congreso:</w:t>
      </w:r>
      <w:r w:rsidRPr="003E5B75">
        <w:rPr>
          <w:rFonts w:ascii="Arial" w:hAnsi="Arial" w:cs="Arial"/>
          <w:sz w:val="16"/>
          <w:szCs w:val="16"/>
        </w:rPr>
        <w:t xml:space="preserve"> Gaceta No. </w:t>
      </w:r>
      <w:hyperlink r:id="rId9" w:history="1">
        <w:r w:rsidRPr="003E5B75">
          <w:rPr>
            <w:rStyle w:val="Hipervnculo"/>
            <w:rFonts w:ascii="Arial" w:hAnsi="Arial" w:cs="Arial"/>
            <w:sz w:val="16"/>
            <w:szCs w:val="16"/>
          </w:rPr>
          <w:t>409 de 2013</w:t>
        </w:r>
      </w:hyperlink>
      <w:r w:rsidRPr="003E5B75">
        <w:rPr>
          <w:rFonts w:ascii="Arial" w:hAnsi="Arial" w:cs="Arial"/>
          <w:sz w:val="16"/>
          <w:szCs w:val="16"/>
        </w:rPr>
        <w:t>.</w:t>
      </w:r>
    </w:p>
    <w:p w:rsidR="003E5B75" w:rsidRPr="003E5B75" w:rsidRDefault="003E5B75" w:rsidP="003E5B75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E5B75">
        <w:rPr>
          <w:rFonts w:ascii="Arial" w:hAnsi="Arial" w:cs="Arial"/>
          <w:b/>
          <w:sz w:val="16"/>
          <w:szCs w:val="16"/>
        </w:rPr>
        <w:t>Anuncio:</w:t>
      </w:r>
      <w:r w:rsidRPr="003E5B75">
        <w:rPr>
          <w:rFonts w:ascii="Arial" w:hAnsi="Arial" w:cs="Arial"/>
          <w:sz w:val="16"/>
          <w:szCs w:val="16"/>
        </w:rPr>
        <w:t xml:space="preserve"> Junio 13 de 2013.</w:t>
      </w:r>
    </w:p>
    <w:p w:rsidR="003E5B75" w:rsidRPr="001A43A8" w:rsidRDefault="003E5B75" w:rsidP="003E5B75">
      <w:pPr>
        <w:ind w:left="-180"/>
        <w:jc w:val="center"/>
        <w:rPr>
          <w:rFonts w:ascii="Arial" w:hAnsi="Arial" w:cs="Arial"/>
          <w:b/>
          <w:sz w:val="8"/>
          <w:szCs w:val="22"/>
        </w:rPr>
      </w:pPr>
    </w:p>
    <w:p w:rsidR="003E5B75" w:rsidRPr="003E5B75" w:rsidRDefault="003E5B75" w:rsidP="003E5B75">
      <w:pPr>
        <w:pStyle w:val="Prrafodelista"/>
        <w:numPr>
          <w:ilvl w:val="0"/>
          <w:numId w:val="27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3E5B7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</w:t>
      </w:r>
      <w:r w:rsidRPr="003E5B7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Pr="003E5B75">
        <w:rPr>
          <w:rFonts w:ascii="Arial" w:hAnsi="Arial" w:cs="Arial"/>
          <w:b/>
          <w:iCs/>
          <w:color w:val="000000"/>
          <w:sz w:val="22"/>
          <w:szCs w:val="22"/>
        </w:rPr>
        <w:t xml:space="preserve">No. 095 </w:t>
      </w:r>
      <w:r w:rsidRPr="003E5B7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de 2011 Cámara - 257 de 2012 Senado </w:t>
      </w:r>
      <w:r w:rsidRPr="003E5B75">
        <w:rPr>
          <w:rFonts w:ascii="Arial" w:hAnsi="Arial" w:cs="Arial"/>
          <w:bCs/>
          <w:i/>
          <w:iCs/>
          <w:color w:val="000000"/>
          <w:sz w:val="22"/>
          <w:szCs w:val="22"/>
        </w:rPr>
        <w:t>“Por medio de la cual se garantiza la educación  de posgrados al 0.1% de los mejores profesionales graduados en las instituciones de educación superior públicas y privadas del país</w:t>
      </w:r>
      <w:r w:rsidRPr="003E5B75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</w:p>
    <w:p w:rsidR="003E5B75" w:rsidRDefault="003E5B75" w:rsidP="003E5B75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:rsidR="003E5B75" w:rsidRPr="003E5B75" w:rsidRDefault="003E5B75" w:rsidP="003E5B75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E5B75">
        <w:rPr>
          <w:rFonts w:ascii="Arial" w:hAnsi="Arial" w:cs="Arial"/>
          <w:b/>
          <w:sz w:val="16"/>
          <w:szCs w:val="16"/>
        </w:rPr>
        <w:t>Publicado en la Gaceta del Congreso:</w:t>
      </w:r>
      <w:r w:rsidRPr="003E5B75">
        <w:rPr>
          <w:rFonts w:ascii="Arial" w:hAnsi="Arial" w:cs="Arial"/>
          <w:sz w:val="16"/>
          <w:szCs w:val="16"/>
        </w:rPr>
        <w:t xml:space="preserve"> Gaceta No. </w:t>
      </w:r>
      <w:hyperlink r:id="rId10" w:history="1">
        <w:r w:rsidRPr="003E5B75">
          <w:rPr>
            <w:rStyle w:val="Hipervnculo"/>
            <w:rFonts w:ascii="Arial" w:hAnsi="Arial" w:cs="Arial"/>
            <w:sz w:val="16"/>
            <w:szCs w:val="16"/>
          </w:rPr>
          <w:t>409 de 2013</w:t>
        </w:r>
      </w:hyperlink>
      <w:r w:rsidRPr="003E5B75">
        <w:rPr>
          <w:rFonts w:ascii="Arial" w:hAnsi="Arial" w:cs="Arial"/>
          <w:sz w:val="16"/>
          <w:szCs w:val="16"/>
        </w:rPr>
        <w:t>.</w:t>
      </w:r>
    </w:p>
    <w:p w:rsidR="003E5B75" w:rsidRPr="003E5B75" w:rsidRDefault="003E5B75" w:rsidP="003E5B75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E5B75">
        <w:rPr>
          <w:rFonts w:ascii="Arial" w:hAnsi="Arial" w:cs="Arial"/>
          <w:b/>
          <w:sz w:val="16"/>
          <w:szCs w:val="16"/>
        </w:rPr>
        <w:t>Anuncio:</w:t>
      </w:r>
      <w:r w:rsidRPr="003E5B75">
        <w:rPr>
          <w:rFonts w:ascii="Arial" w:hAnsi="Arial" w:cs="Arial"/>
          <w:sz w:val="16"/>
          <w:szCs w:val="16"/>
        </w:rPr>
        <w:t xml:space="preserve"> Junio 13 de 2013.</w:t>
      </w:r>
    </w:p>
    <w:p w:rsidR="00C500A0" w:rsidRPr="00643B16" w:rsidRDefault="00C500A0" w:rsidP="00643B16">
      <w:pPr>
        <w:spacing w:before="45" w:after="28"/>
        <w:jc w:val="both"/>
        <w:textAlignment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C500A0" w:rsidRDefault="00C500A0" w:rsidP="00C500A0">
      <w:pPr>
        <w:pStyle w:val="Prrafodelista"/>
        <w:numPr>
          <w:ilvl w:val="0"/>
          <w:numId w:val="22"/>
        </w:numPr>
        <w:ind w:left="284"/>
        <w:rPr>
          <w:rFonts w:ascii="Arial" w:hAnsi="Arial" w:cs="Arial"/>
          <w:b/>
          <w:color w:val="000000"/>
          <w:sz w:val="22"/>
          <w:szCs w:val="22"/>
        </w:rPr>
      </w:pPr>
      <w:r w:rsidRPr="00C500A0">
        <w:rPr>
          <w:rFonts w:ascii="Arial" w:hAnsi="Arial" w:cs="Arial"/>
          <w:b/>
          <w:color w:val="000000"/>
          <w:sz w:val="22"/>
          <w:szCs w:val="22"/>
        </w:rPr>
        <w:t>Discusión y Aprobación de Proyectos de Ley</w:t>
      </w:r>
    </w:p>
    <w:p w:rsidR="00C500A0" w:rsidRDefault="00C500A0" w:rsidP="00C500A0">
      <w:pPr>
        <w:rPr>
          <w:rFonts w:ascii="Arial" w:hAnsi="Arial" w:cs="Arial"/>
          <w:b/>
          <w:color w:val="000000"/>
          <w:sz w:val="22"/>
          <w:szCs w:val="22"/>
        </w:rPr>
      </w:pPr>
    </w:p>
    <w:p w:rsidR="008D2063" w:rsidRPr="008D2063" w:rsidRDefault="00643B16" w:rsidP="008D2063">
      <w:pPr>
        <w:pStyle w:val="Subttulo"/>
        <w:numPr>
          <w:ilvl w:val="0"/>
          <w:numId w:val="28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8D2063">
        <w:rPr>
          <w:rFonts w:ascii="Arial" w:hAnsi="Arial" w:cs="Arial"/>
          <w:i w:val="0"/>
          <w:sz w:val="22"/>
          <w:szCs w:val="22"/>
        </w:rPr>
        <w:t xml:space="preserve">Se discutió y </w:t>
      </w:r>
      <w:r w:rsidR="008D2063">
        <w:rPr>
          <w:rFonts w:ascii="Arial" w:hAnsi="Arial" w:cs="Arial"/>
          <w:i w:val="0"/>
          <w:sz w:val="22"/>
          <w:szCs w:val="22"/>
        </w:rPr>
        <w:t>con</w:t>
      </w:r>
      <w:r w:rsidRPr="008D2063">
        <w:rPr>
          <w:rFonts w:ascii="Arial" w:hAnsi="Arial" w:cs="Arial"/>
          <w:i w:val="0"/>
          <w:sz w:val="22"/>
          <w:szCs w:val="22"/>
        </w:rPr>
        <w:t xml:space="preserve"> modificaciones se aprobó,</w:t>
      </w:r>
      <w:r w:rsidR="008D2063">
        <w:rPr>
          <w:rFonts w:ascii="Arial" w:hAnsi="Arial" w:cs="Arial"/>
          <w:i w:val="0"/>
          <w:sz w:val="22"/>
          <w:szCs w:val="22"/>
        </w:rPr>
        <w:t xml:space="preserve"> el</w:t>
      </w:r>
      <w:r w:rsidRPr="008D206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D2063" w:rsidRPr="008D2063">
          <w:rPr>
            <w:rStyle w:val="Hipervnculo"/>
            <w:rFonts w:ascii="Arial" w:hAnsi="Arial" w:cs="Arial"/>
            <w:i w:val="0"/>
            <w:sz w:val="22"/>
            <w:szCs w:val="22"/>
            <w:lang w:val="es-CO"/>
          </w:rPr>
          <w:t>Proyecto de Ley Estatutaria No. 268 de 2013 Cámara</w:t>
        </w:r>
      </w:hyperlink>
      <w:r w:rsidR="008D2063" w:rsidRPr="008D2063">
        <w:rPr>
          <w:rFonts w:ascii="Arial" w:hAnsi="Arial" w:cs="Arial"/>
          <w:i w:val="0"/>
          <w:sz w:val="22"/>
          <w:szCs w:val="22"/>
          <w:lang w:val="es-CO"/>
        </w:rPr>
        <w:t xml:space="preserve"> - 211 de </w:t>
      </w:r>
      <w:bookmarkStart w:id="0" w:name="_GoBack"/>
      <w:bookmarkEnd w:id="0"/>
      <w:r w:rsidR="008D2063" w:rsidRPr="008D2063">
        <w:rPr>
          <w:rFonts w:ascii="Arial" w:hAnsi="Arial" w:cs="Arial"/>
          <w:i w:val="0"/>
          <w:sz w:val="22"/>
          <w:szCs w:val="22"/>
          <w:lang w:val="es-CO"/>
        </w:rPr>
        <w:t xml:space="preserve">2013 Senado </w:t>
      </w:r>
      <w:r w:rsidR="008D2063" w:rsidRPr="008D2063">
        <w:rPr>
          <w:rFonts w:ascii="Arial" w:hAnsi="Arial" w:cs="Arial"/>
          <w:b w:val="0"/>
          <w:sz w:val="22"/>
          <w:szCs w:val="22"/>
        </w:rPr>
        <w:t>“</w:t>
      </w:r>
      <w:r w:rsidR="008D2063" w:rsidRPr="008D2063">
        <w:rPr>
          <w:rFonts w:ascii="Arial" w:hAnsi="Arial" w:cs="Arial"/>
          <w:b w:val="0"/>
          <w:sz w:val="22"/>
          <w:szCs w:val="22"/>
          <w:lang w:val="es-CO"/>
        </w:rPr>
        <w:t>Por la cual se desarrollan los artículos 116 y 221 de la Constitución Política de Colombia y se dictan otras disposiciones</w:t>
      </w:r>
      <w:r w:rsidR="008D2063" w:rsidRPr="008D2063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  <w:r w:rsidR="008D2063" w:rsidRPr="008D2063">
        <w:rPr>
          <w:rFonts w:ascii="Arial" w:hAnsi="Arial" w:cs="Arial"/>
          <w:b w:val="0"/>
          <w:sz w:val="22"/>
          <w:szCs w:val="22"/>
        </w:rPr>
        <w:t xml:space="preserve"> </w:t>
      </w:r>
    </w:p>
    <w:p w:rsidR="008D2063" w:rsidRDefault="008D2063" w:rsidP="008D2063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8D2063" w:rsidRPr="008D2063" w:rsidRDefault="008D2063" w:rsidP="008D2063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bCs/>
          <w:i w:val="0"/>
          <w:sz w:val="16"/>
          <w:szCs w:val="16"/>
        </w:rPr>
      </w:pPr>
      <w:r w:rsidRPr="008D2063">
        <w:rPr>
          <w:rFonts w:ascii="Arial" w:hAnsi="Arial" w:cs="Arial"/>
          <w:i w:val="0"/>
          <w:sz w:val="16"/>
          <w:szCs w:val="16"/>
          <w:lang w:val="es-CO"/>
        </w:rPr>
        <w:lastRenderedPageBreak/>
        <w:t>Autores:</w:t>
      </w:r>
      <w:r w:rsidRPr="008D2063">
        <w:rPr>
          <w:rFonts w:ascii="Arial" w:hAnsi="Arial" w:cs="Arial"/>
          <w:i w:val="0"/>
          <w:sz w:val="16"/>
          <w:szCs w:val="16"/>
          <w:lang w:val="es-ES"/>
        </w:rPr>
        <w:t xml:space="preserve"> </w:t>
      </w:r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Ministra de Justicia, doctora Ruth Stella Correa Palacio, Ministro de Defensa Nacional, doctor Juan Carlos Pinzón Bueno, los </w:t>
      </w:r>
      <w:proofErr w:type="spellStart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Roy Barreras Montealegre, Efraín Cepeda Saravia, Hernán Andrade Serrano, Aurelio </w:t>
      </w:r>
      <w:proofErr w:type="spellStart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>Iragorri</w:t>
      </w:r>
      <w:proofErr w:type="spellEnd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>Hormanza</w:t>
      </w:r>
      <w:proofErr w:type="spellEnd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, Juan Manuel Galán, Antonio Guerra de la </w:t>
      </w:r>
      <w:proofErr w:type="spellStart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>Espriella</w:t>
      </w:r>
      <w:proofErr w:type="spellEnd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, Juan Lozano Ramírez, los </w:t>
      </w:r>
      <w:proofErr w:type="spellStart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>H.R</w:t>
      </w:r>
      <w:proofErr w:type="spellEnd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</w:t>
      </w:r>
      <w:proofErr w:type="spellStart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>Libardo</w:t>
      </w:r>
      <w:proofErr w:type="spellEnd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>Taborda</w:t>
      </w:r>
      <w:proofErr w:type="spellEnd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Castro, Jaime </w:t>
      </w:r>
      <w:proofErr w:type="spellStart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>Buenahora</w:t>
      </w:r>
      <w:proofErr w:type="spellEnd"/>
      <w:r w:rsidRPr="008D2063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Febres, Alfonso Prada Gil y otras firmas.</w:t>
      </w:r>
    </w:p>
    <w:p w:rsidR="00643B16" w:rsidRPr="008D2063" w:rsidRDefault="00643B16" w:rsidP="00643B16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643B16" w:rsidRPr="00643B16" w:rsidRDefault="00643B16" w:rsidP="00643B16">
      <w:pPr>
        <w:pStyle w:val="Subttulo"/>
        <w:numPr>
          <w:ilvl w:val="0"/>
          <w:numId w:val="26"/>
        </w:numPr>
        <w:spacing w:before="0" w:after="0"/>
        <w:jc w:val="both"/>
        <w:rPr>
          <w:rFonts w:ascii="Arial" w:hAnsi="Arial" w:cs="Arial"/>
          <w:b w:val="0"/>
          <w:bCs/>
          <w:iCs w:val="0"/>
          <w:sz w:val="23"/>
          <w:szCs w:val="23"/>
          <w:lang w:val="es-ES"/>
        </w:rPr>
      </w:pPr>
      <w:r>
        <w:rPr>
          <w:rFonts w:ascii="Arial" w:hAnsi="Arial" w:cs="Arial"/>
          <w:i w:val="0"/>
          <w:sz w:val="23"/>
          <w:szCs w:val="23"/>
          <w:lang w:val="es-CO"/>
        </w:rPr>
        <w:t xml:space="preserve">Se discutió y aprobó </w:t>
      </w:r>
      <w:r w:rsidRPr="00400266">
        <w:rPr>
          <w:rFonts w:ascii="Arial" w:hAnsi="Arial" w:cs="Arial"/>
          <w:i w:val="0"/>
          <w:sz w:val="28"/>
          <w:szCs w:val="23"/>
          <w:u w:val="single"/>
          <w:lang w:val="es-CO"/>
        </w:rPr>
        <w:t>PARCIALMENTE</w:t>
      </w:r>
      <w:r>
        <w:rPr>
          <w:rFonts w:ascii="Arial" w:hAnsi="Arial" w:cs="Arial"/>
          <w:i w:val="0"/>
          <w:sz w:val="23"/>
          <w:szCs w:val="23"/>
          <w:lang w:val="es-CO"/>
        </w:rPr>
        <w:t xml:space="preserve"> el </w:t>
      </w:r>
      <w:r w:rsidRPr="00550C7B">
        <w:rPr>
          <w:rFonts w:ascii="Arial" w:hAnsi="Arial" w:cs="Arial"/>
          <w:i w:val="0"/>
          <w:sz w:val="23"/>
          <w:szCs w:val="23"/>
          <w:lang w:val="es-CO"/>
        </w:rPr>
        <w:t xml:space="preserve">Proyecto de Ley No. 256 de 2013 Cámara </w:t>
      </w:r>
      <w:r w:rsidRPr="00643B16">
        <w:rPr>
          <w:rFonts w:ascii="Arial" w:hAnsi="Arial" w:cs="Arial"/>
          <w:b w:val="0"/>
          <w:bCs/>
          <w:sz w:val="23"/>
          <w:szCs w:val="23"/>
        </w:rPr>
        <w:t>“</w:t>
      </w:r>
      <w:r w:rsidRPr="00643B16">
        <w:rPr>
          <w:rFonts w:ascii="Arial" w:hAnsi="Arial" w:cs="Arial"/>
          <w:b w:val="0"/>
          <w:bCs/>
          <w:sz w:val="23"/>
          <w:szCs w:val="23"/>
          <w:lang w:val="es-CO"/>
        </w:rPr>
        <w:t>Por medio de la cual se reforman algunos artículos de la Ley 65 de 1993 y se dictan otras disposiciones</w:t>
      </w:r>
      <w:r w:rsidRPr="00643B16">
        <w:rPr>
          <w:rFonts w:ascii="Arial" w:hAnsi="Arial" w:cs="Arial"/>
          <w:b w:val="0"/>
          <w:bCs/>
          <w:sz w:val="23"/>
          <w:szCs w:val="23"/>
        </w:rPr>
        <w:t>”.</w:t>
      </w:r>
      <w:r w:rsidRPr="00643B16">
        <w:rPr>
          <w:rFonts w:ascii="Arial" w:hAnsi="Arial" w:cs="Arial"/>
          <w:b w:val="0"/>
          <w:bCs/>
          <w:iCs w:val="0"/>
          <w:sz w:val="23"/>
          <w:szCs w:val="23"/>
        </w:rPr>
        <w:t xml:space="preserve"> </w:t>
      </w:r>
    </w:p>
    <w:p w:rsidR="00643B16" w:rsidRDefault="00643B16" w:rsidP="00643B1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  <w:lang w:val="es-CO"/>
        </w:rPr>
      </w:pPr>
    </w:p>
    <w:p w:rsidR="00643B16" w:rsidRPr="00643B16" w:rsidRDefault="00643B16" w:rsidP="00643B16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643B16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Ministra de Justicia y del Derecho, doctora Ruth Stella Correa Palacio</w:t>
      </w:r>
      <w:r w:rsidRPr="00643B16">
        <w:rPr>
          <w:rFonts w:ascii="Arial" w:hAnsi="Arial" w:cs="Arial"/>
          <w:b w:val="0"/>
          <w:i w:val="0"/>
          <w:sz w:val="16"/>
          <w:szCs w:val="16"/>
        </w:rPr>
        <w:t>.</w:t>
      </w:r>
    </w:p>
    <w:p w:rsidR="00643B16" w:rsidRPr="00643B16" w:rsidRDefault="00643B16" w:rsidP="00643B16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352206" w:rsidRPr="004014C4" w:rsidRDefault="00352206" w:rsidP="00712562">
      <w:pPr>
        <w:pStyle w:val="Prrafodelista"/>
        <w:pBdr>
          <w:bottom w:val="dotted" w:sz="24" w:space="1" w:color="auto"/>
        </w:pBdr>
        <w:spacing w:before="45" w:after="28"/>
        <w:ind w:left="284"/>
        <w:jc w:val="both"/>
        <w:textAlignment w:val="center"/>
        <w:rPr>
          <w:rFonts w:ascii="Arial" w:hAnsi="Arial" w:cs="Arial"/>
          <w:b/>
          <w:i/>
          <w:sz w:val="16"/>
          <w:szCs w:val="16"/>
        </w:rPr>
      </w:pPr>
    </w:p>
    <w:p w:rsidR="00643B16" w:rsidRPr="00550C7B" w:rsidRDefault="00643B16" w:rsidP="00643B16">
      <w:pPr>
        <w:ind w:left="-180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3E5B75" w:rsidRDefault="003E5B75" w:rsidP="003E5B75">
      <w:pPr>
        <w:ind w:left="-180"/>
        <w:jc w:val="center"/>
        <w:rPr>
          <w:rFonts w:ascii="Arial" w:hAnsi="Arial" w:cs="Arial"/>
          <w:b/>
          <w:sz w:val="23"/>
          <w:szCs w:val="23"/>
        </w:rPr>
      </w:pPr>
    </w:p>
    <w:p w:rsidR="00352206" w:rsidRPr="00A67374" w:rsidRDefault="00352206" w:rsidP="00C500A0">
      <w:pPr>
        <w:jc w:val="both"/>
        <w:rPr>
          <w:sz w:val="16"/>
          <w:szCs w:val="16"/>
        </w:rPr>
      </w:pPr>
    </w:p>
    <w:sectPr w:rsidR="00352206" w:rsidRPr="00A6737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A5" w:rsidRDefault="00B005A5" w:rsidP="005A01C7">
      <w:r>
        <w:separator/>
      </w:r>
    </w:p>
  </w:endnote>
  <w:endnote w:type="continuationSeparator" w:id="0">
    <w:p w:rsidR="00B005A5" w:rsidRDefault="00B005A5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B005A5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A5" w:rsidRDefault="00B005A5" w:rsidP="005A01C7">
      <w:r>
        <w:separator/>
      </w:r>
    </w:p>
  </w:footnote>
  <w:footnote w:type="continuationSeparator" w:id="0">
    <w:p w:rsidR="00B005A5" w:rsidRDefault="00B005A5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8F8"/>
    <w:multiLevelType w:val="hybridMultilevel"/>
    <w:tmpl w:val="65329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51F"/>
    <w:multiLevelType w:val="hybridMultilevel"/>
    <w:tmpl w:val="B60685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9FE77C9"/>
    <w:multiLevelType w:val="hybridMultilevel"/>
    <w:tmpl w:val="05F03730"/>
    <w:lvl w:ilvl="0" w:tplc="3C005E8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1A6D"/>
    <w:multiLevelType w:val="hybridMultilevel"/>
    <w:tmpl w:val="E746E4B8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7846082"/>
    <w:multiLevelType w:val="hybridMultilevel"/>
    <w:tmpl w:val="569628F8"/>
    <w:lvl w:ilvl="0" w:tplc="240A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873169F"/>
    <w:multiLevelType w:val="hybridMultilevel"/>
    <w:tmpl w:val="2096662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1A36BFE"/>
    <w:multiLevelType w:val="hybridMultilevel"/>
    <w:tmpl w:val="7AC08F1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A014F0B"/>
    <w:multiLevelType w:val="hybridMultilevel"/>
    <w:tmpl w:val="3220655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D061489"/>
    <w:multiLevelType w:val="hybridMultilevel"/>
    <w:tmpl w:val="A66AD302"/>
    <w:lvl w:ilvl="0" w:tplc="240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4ED45488"/>
    <w:multiLevelType w:val="hybridMultilevel"/>
    <w:tmpl w:val="5F7CA07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0450D59"/>
    <w:multiLevelType w:val="hybridMultilevel"/>
    <w:tmpl w:val="7BA00D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D3D48"/>
    <w:multiLevelType w:val="hybridMultilevel"/>
    <w:tmpl w:val="4D1A589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5F5378"/>
    <w:multiLevelType w:val="hybridMultilevel"/>
    <w:tmpl w:val="E2209C5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17B88"/>
    <w:multiLevelType w:val="hybridMultilevel"/>
    <w:tmpl w:val="D486D2A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76E88"/>
    <w:multiLevelType w:val="hybridMultilevel"/>
    <w:tmpl w:val="4A249FFA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23"/>
  </w:num>
  <w:num w:numId="9">
    <w:abstractNumId w:val="15"/>
  </w:num>
  <w:num w:numId="10">
    <w:abstractNumId w:val="24"/>
  </w:num>
  <w:num w:numId="11">
    <w:abstractNumId w:val="16"/>
  </w:num>
  <w:num w:numId="12">
    <w:abstractNumId w:val="12"/>
  </w:num>
  <w:num w:numId="13">
    <w:abstractNumId w:val="22"/>
  </w:num>
  <w:num w:numId="14">
    <w:abstractNumId w:val="6"/>
  </w:num>
  <w:num w:numId="15">
    <w:abstractNumId w:val="4"/>
  </w:num>
  <w:num w:numId="16">
    <w:abstractNumId w:val="25"/>
  </w:num>
  <w:num w:numId="17">
    <w:abstractNumId w:val="18"/>
  </w:num>
  <w:num w:numId="18">
    <w:abstractNumId w:val="7"/>
  </w:num>
  <w:num w:numId="19">
    <w:abstractNumId w:val="13"/>
  </w:num>
  <w:num w:numId="20">
    <w:abstractNumId w:val="19"/>
  </w:num>
  <w:num w:numId="21">
    <w:abstractNumId w:val="20"/>
  </w:num>
  <w:num w:numId="22">
    <w:abstractNumId w:val="1"/>
  </w:num>
  <w:num w:numId="23">
    <w:abstractNumId w:val="21"/>
  </w:num>
  <w:num w:numId="24">
    <w:abstractNumId w:val="8"/>
  </w:num>
  <w:num w:numId="25">
    <w:abstractNumId w:val="17"/>
  </w:num>
  <w:num w:numId="26">
    <w:abstractNumId w:val="2"/>
  </w:num>
  <w:num w:numId="27">
    <w:abstractNumId w:val="26"/>
  </w:num>
  <w:num w:numId="2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21E58"/>
    <w:rsid w:val="00136C32"/>
    <w:rsid w:val="001458B0"/>
    <w:rsid w:val="00160C8F"/>
    <w:rsid w:val="001665C0"/>
    <w:rsid w:val="00167346"/>
    <w:rsid w:val="00171AFC"/>
    <w:rsid w:val="00187FF9"/>
    <w:rsid w:val="001A43A8"/>
    <w:rsid w:val="001F1F1A"/>
    <w:rsid w:val="0020638C"/>
    <w:rsid w:val="002122C8"/>
    <w:rsid w:val="00224A26"/>
    <w:rsid w:val="002401FD"/>
    <w:rsid w:val="00245227"/>
    <w:rsid w:val="00254575"/>
    <w:rsid w:val="00255F51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52206"/>
    <w:rsid w:val="00362074"/>
    <w:rsid w:val="00371D37"/>
    <w:rsid w:val="00397D97"/>
    <w:rsid w:val="003E5B75"/>
    <w:rsid w:val="00400266"/>
    <w:rsid w:val="004014C4"/>
    <w:rsid w:val="004209E8"/>
    <w:rsid w:val="00421BBF"/>
    <w:rsid w:val="00451E26"/>
    <w:rsid w:val="00456C42"/>
    <w:rsid w:val="0046791B"/>
    <w:rsid w:val="004A21E2"/>
    <w:rsid w:val="004A6C87"/>
    <w:rsid w:val="004B26E4"/>
    <w:rsid w:val="004C0128"/>
    <w:rsid w:val="004F2DDD"/>
    <w:rsid w:val="004F6649"/>
    <w:rsid w:val="005007DE"/>
    <w:rsid w:val="00516BB1"/>
    <w:rsid w:val="005324A3"/>
    <w:rsid w:val="005679D2"/>
    <w:rsid w:val="005923B2"/>
    <w:rsid w:val="005A01C7"/>
    <w:rsid w:val="005A4A99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3B16"/>
    <w:rsid w:val="00646979"/>
    <w:rsid w:val="00690F8B"/>
    <w:rsid w:val="006B5B2D"/>
    <w:rsid w:val="006C56B7"/>
    <w:rsid w:val="006D0CA9"/>
    <w:rsid w:val="006D5B70"/>
    <w:rsid w:val="00701724"/>
    <w:rsid w:val="00705C95"/>
    <w:rsid w:val="00712562"/>
    <w:rsid w:val="0071358F"/>
    <w:rsid w:val="007244C8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D2063"/>
    <w:rsid w:val="008F1E25"/>
    <w:rsid w:val="008F7A47"/>
    <w:rsid w:val="00910DF1"/>
    <w:rsid w:val="00916D97"/>
    <w:rsid w:val="00922096"/>
    <w:rsid w:val="00990C93"/>
    <w:rsid w:val="009D0495"/>
    <w:rsid w:val="009D2453"/>
    <w:rsid w:val="00A26ED5"/>
    <w:rsid w:val="00A42BE9"/>
    <w:rsid w:val="00A44BA9"/>
    <w:rsid w:val="00A50722"/>
    <w:rsid w:val="00A623A1"/>
    <w:rsid w:val="00A63409"/>
    <w:rsid w:val="00A67374"/>
    <w:rsid w:val="00A77A59"/>
    <w:rsid w:val="00A979C2"/>
    <w:rsid w:val="00AA72CE"/>
    <w:rsid w:val="00B005A5"/>
    <w:rsid w:val="00B10606"/>
    <w:rsid w:val="00B44F57"/>
    <w:rsid w:val="00BA655C"/>
    <w:rsid w:val="00BB2108"/>
    <w:rsid w:val="00C276C3"/>
    <w:rsid w:val="00C27917"/>
    <w:rsid w:val="00C500A0"/>
    <w:rsid w:val="00C55FA3"/>
    <w:rsid w:val="00C643A9"/>
    <w:rsid w:val="00C71CDB"/>
    <w:rsid w:val="00C90B14"/>
    <w:rsid w:val="00C92D19"/>
    <w:rsid w:val="00CB02AC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5277E"/>
    <w:rsid w:val="00D65FF4"/>
    <w:rsid w:val="00D770D7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6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rvoaspr.imprenta.gov.co:7778/gacetap/gaceta.mostrar_documento?p_tipo=123&amp;p_numero=095&amp;p_consec=365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123&amp;p_numero=052&amp;p_consec=3654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C180-513B-4C2D-9707-5009406F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3</cp:revision>
  <cp:lastPrinted>2012-10-25T15:44:00Z</cp:lastPrinted>
  <dcterms:created xsi:type="dcterms:W3CDTF">2013-06-22T01:24:00Z</dcterms:created>
  <dcterms:modified xsi:type="dcterms:W3CDTF">2013-06-22T01:26:00Z</dcterms:modified>
</cp:coreProperties>
</file>